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</w:t>
      </w:r>
      <w:r>
        <w:rPr>
          <w:rFonts w:hint="eastAsia"/>
          <w:b/>
          <w:bCs/>
          <w:sz w:val="30"/>
          <w:szCs w:val="30"/>
          <w:lang w:val="en-US" w:eastAsia="zh-CN"/>
        </w:rPr>
        <w:t>兴时6个月定开1号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</w:t>
      </w:r>
      <w:r>
        <w:rPr>
          <w:rFonts w:hint="eastAsia"/>
          <w:szCs w:val="21"/>
          <w:lang w:val="en-US" w:eastAsia="zh-CN"/>
        </w:rPr>
        <w:t>兴时6个月定开1号</w:t>
      </w:r>
      <w:r>
        <w:rPr>
          <w:rFonts w:hint="eastAsia"/>
          <w:szCs w:val="21"/>
        </w:rPr>
        <w:t>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20GSGK41005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洛阳城乡建设投资集团有限公司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19洛阳新投01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半年</w:t>
            </w:r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3B5446DA"/>
    <w:rsid w:val="3EA77786"/>
    <w:rsid w:val="4032044F"/>
    <w:rsid w:val="42601BD1"/>
    <w:rsid w:val="483A1AD2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2021-05-10T01:23:11Z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679F2B722266441B92143CD4486107E5</vt:lpwstr>
  </property>
</Properties>
</file>